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9D5" w:rsidRPr="00FB5300" w:rsidRDefault="000A49D5" w:rsidP="00FB5300">
      <w:pPr>
        <w:spacing w:after="0"/>
        <w:jc w:val="center"/>
        <w:rPr>
          <w:rFonts w:ascii="Algerian" w:hAnsi="Algerian"/>
          <w:sz w:val="8"/>
          <w:szCs w:val="8"/>
        </w:rPr>
      </w:pPr>
      <w:r>
        <w:rPr>
          <w:rFonts w:ascii="Algerian" w:hAnsi="Algerian"/>
          <w:noProof/>
          <w:sz w:val="8"/>
          <w:szCs w:val="8"/>
          <w:lang w:val="en-AU" w:eastAsia="en-AU"/>
        </w:rPr>
        <w:drawing>
          <wp:inline distT="0" distB="0" distL="0" distR="0">
            <wp:extent cx="3409950" cy="895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F30" w:rsidRPr="00AD5F30" w:rsidRDefault="00AD5F30" w:rsidP="00FB5300">
      <w:pPr>
        <w:shd w:val="clear" w:color="auto" w:fill="000000"/>
        <w:spacing w:after="0"/>
        <w:jc w:val="center"/>
        <w:rPr>
          <w:rFonts w:ascii="Arial" w:hAnsi="Arial" w:cs="Arial"/>
          <w:b/>
          <w:color w:val="FFFF00"/>
          <w:sz w:val="4"/>
          <w:szCs w:val="4"/>
        </w:rPr>
      </w:pPr>
    </w:p>
    <w:p w:rsidR="00410447" w:rsidRPr="00B00D9B" w:rsidRDefault="00B00D9B" w:rsidP="00FB5300">
      <w:pPr>
        <w:shd w:val="clear" w:color="auto" w:fill="000000"/>
        <w:spacing w:after="0"/>
        <w:jc w:val="center"/>
        <w:rPr>
          <w:rFonts w:ascii="Arial" w:hAnsi="Arial" w:cs="Arial"/>
          <w:b/>
          <w:color w:val="FFFF00"/>
          <w:sz w:val="28"/>
        </w:rPr>
      </w:pPr>
      <w:r w:rsidRPr="00B00D9B">
        <w:rPr>
          <w:rFonts w:ascii="Arial" w:hAnsi="Arial" w:cs="Arial"/>
          <w:b/>
          <w:color w:val="FFFF00"/>
          <w:sz w:val="28"/>
        </w:rPr>
        <w:t>QUALITY POLICY</w:t>
      </w:r>
    </w:p>
    <w:p w:rsidR="00410447" w:rsidRDefault="00410447" w:rsidP="00410447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</w:rPr>
      </w:pPr>
    </w:p>
    <w:p w:rsidR="000A49D5" w:rsidRDefault="00B00D9B" w:rsidP="006A58B7">
      <w:pPr>
        <w:spacing w:after="120" w:line="264" w:lineRule="auto"/>
        <w:ind w:left="284" w:right="284"/>
        <w:jc w:val="both"/>
        <w:rPr>
          <w:b/>
        </w:rPr>
      </w:pPr>
      <w:r w:rsidRPr="000A49D5">
        <w:rPr>
          <w:b/>
        </w:rPr>
        <w:t xml:space="preserve">Kalwun Development Corporation Ltd provides innovative and progressive services within a holistic framework.  </w:t>
      </w:r>
    </w:p>
    <w:p w:rsidR="00B00D9B" w:rsidRPr="000A49D5" w:rsidRDefault="00B00D9B" w:rsidP="000A49D5">
      <w:pPr>
        <w:spacing w:after="120" w:line="264" w:lineRule="auto"/>
        <w:ind w:left="284" w:right="284"/>
        <w:jc w:val="both"/>
        <w:rPr>
          <w:b/>
        </w:rPr>
      </w:pPr>
      <w:r w:rsidRPr="000A49D5">
        <w:t xml:space="preserve">We </w:t>
      </w:r>
      <w:r w:rsidR="000A49D5" w:rsidRPr="000A49D5">
        <w:t>provide assistance to all people however we exist to primarily provide support, services and assistance to</w:t>
      </w:r>
      <w:r w:rsidRPr="000A49D5">
        <w:t xml:space="preserve"> Aboriginal and Torres Strait Islander individuals and their families and community in </w:t>
      </w:r>
      <w:r w:rsidR="000A49D5" w:rsidRPr="000A49D5">
        <w:t>s</w:t>
      </w:r>
      <w:r w:rsidRPr="000A49D5">
        <w:t xml:space="preserve">outh </w:t>
      </w:r>
      <w:r w:rsidR="000A49D5" w:rsidRPr="000A49D5">
        <w:t>e</w:t>
      </w:r>
      <w:r w:rsidRPr="000A49D5">
        <w:t xml:space="preserve">ast  </w:t>
      </w:r>
      <w:r w:rsidR="000A49D5" w:rsidRPr="000A49D5">
        <w:t>Queensland. Kalwun provides</w:t>
      </w:r>
      <w:r w:rsidRPr="000A49D5">
        <w:t xml:space="preserve"> to access </w:t>
      </w:r>
      <w:r w:rsidR="000A49D5" w:rsidRPr="000A49D5">
        <w:t>to</w:t>
      </w:r>
      <w:r w:rsidRPr="000A49D5">
        <w:t xml:space="preserve"> housing, dental, medical,</w:t>
      </w:r>
      <w:r w:rsidR="000A49D5" w:rsidRPr="000A49D5">
        <w:t xml:space="preserve"> health programs,</w:t>
      </w:r>
      <w:r w:rsidRPr="000A49D5">
        <w:t xml:space="preserve"> </w:t>
      </w:r>
      <w:r w:rsidR="000A49D5" w:rsidRPr="000A49D5">
        <w:t>home</w:t>
      </w:r>
      <w:r w:rsidRPr="000A49D5">
        <w:t xml:space="preserve"> care,</w:t>
      </w:r>
      <w:r w:rsidR="000A49D5" w:rsidRPr="000A49D5">
        <w:t xml:space="preserve"> aged care,</w:t>
      </w:r>
      <w:r w:rsidRPr="000A49D5">
        <w:t xml:space="preserve"> child protection, family support</w:t>
      </w:r>
      <w:r w:rsidR="000A49D5" w:rsidRPr="000A49D5">
        <w:t>, parenting services, foster and kinship care, cultural promotions</w:t>
      </w:r>
      <w:r w:rsidRPr="000A49D5">
        <w:t xml:space="preserve"> and </w:t>
      </w:r>
      <w:r w:rsidR="000A49D5" w:rsidRPr="000A49D5">
        <w:t>emergence</w:t>
      </w:r>
      <w:r w:rsidRPr="000A49D5">
        <w:t xml:space="preserve"> relief assistance.  </w:t>
      </w:r>
    </w:p>
    <w:p w:rsidR="000A49D5" w:rsidRPr="00980FB5" w:rsidRDefault="000A49D5" w:rsidP="000A49D5">
      <w:pPr>
        <w:spacing w:after="120" w:line="264" w:lineRule="auto"/>
        <w:ind w:left="284" w:right="284"/>
        <w:jc w:val="both"/>
      </w:pPr>
    </w:p>
    <w:p w:rsidR="00B00D9B" w:rsidRDefault="00B00D9B" w:rsidP="000A49D5">
      <w:pPr>
        <w:autoSpaceDE w:val="0"/>
        <w:autoSpaceDN w:val="0"/>
        <w:adjustRightInd w:val="0"/>
        <w:spacing w:after="120" w:line="264" w:lineRule="auto"/>
        <w:ind w:left="284" w:right="284"/>
        <w:jc w:val="both"/>
        <w:rPr>
          <w:rFonts w:cs="Arial"/>
          <w:color w:val="000000"/>
        </w:rPr>
      </w:pPr>
      <w:r w:rsidRPr="00980FB5">
        <w:rPr>
          <w:rFonts w:cs="Arial"/>
          <w:b/>
          <w:bCs/>
          <w:color w:val="000000"/>
        </w:rPr>
        <w:t xml:space="preserve">Clients and Communities: </w:t>
      </w:r>
      <w:r w:rsidRPr="00980FB5">
        <w:rPr>
          <w:rFonts w:cs="Arial"/>
          <w:color w:val="000000"/>
        </w:rPr>
        <w:t xml:space="preserve">To work </w:t>
      </w:r>
      <w:r w:rsidRPr="00382EF3">
        <w:rPr>
          <w:rFonts w:cs="Arial"/>
          <w:color w:val="000000"/>
        </w:rPr>
        <w:t xml:space="preserve">with specialists across </w:t>
      </w:r>
      <w:r w:rsidRPr="00980FB5">
        <w:rPr>
          <w:rFonts w:cs="Arial"/>
          <w:color w:val="000000"/>
        </w:rPr>
        <w:t xml:space="preserve">comprehensive </w:t>
      </w:r>
      <w:r w:rsidRPr="00382EF3">
        <w:rPr>
          <w:rFonts w:cs="Arial"/>
          <w:color w:val="000000"/>
        </w:rPr>
        <w:t xml:space="preserve">holistic </w:t>
      </w:r>
      <w:r w:rsidRPr="00980FB5">
        <w:rPr>
          <w:rFonts w:cs="Arial"/>
          <w:color w:val="000000"/>
        </w:rPr>
        <w:t>primary health care</w:t>
      </w:r>
      <w:r w:rsidRPr="00382EF3">
        <w:rPr>
          <w:rFonts w:cs="Arial"/>
          <w:color w:val="000000"/>
        </w:rPr>
        <w:t xml:space="preserve"> including the provision of housing and access to required resources to support </w:t>
      </w:r>
      <w:r w:rsidRPr="00980FB5">
        <w:rPr>
          <w:rFonts w:cs="Arial"/>
          <w:color w:val="000000"/>
        </w:rPr>
        <w:t>Aboriginal and Torres Strait Islander people</w:t>
      </w:r>
      <w:r w:rsidRPr="00382EF3">
        <w:rPr>
          <w:rFonts w:cs="Arial"/>
          <w:color w:val="000000"/>
        </w:rPr>
        <w:t>s and communities in the South East Queensland area across the lifespan</w:t>
      </w:r>
      <w:r w:rsidRPr="00980FB5">
        <w:rPr>
          <w:rFonts w:cs="Arial"/>
          <w:color w:val="000000"/>
        </w:rPr>
        <w:t xml:space="preserve">. </w:t>
      </w:r>
    </w:p>
    <w:p w:rsidR="000A49D5" w:rsidRPr="00980FB5" w:rsidRDefault="000A49D5" w:rsidP="000A49D5">
      <w:pPr>
        <w:autoSpaceDE w:val="0"/>
        <w:autoSpaceDN w:val="0"/>
        <w:adjustRightInd w:val="0"/>
        <w:spacing w:after="120" w:line="264" w:lineRule="auto"/>
        <w:ind w:left="284" w:right="284"/>
        <w:jc w:val="both"/>
        <w:rPr>
          <w:rFonts w:cs="Arial"/>
          <w:color w:val="000000"/>
        </w:rPr>
      </w:pPr>
    </w:p>
    <w:p w:rsidR="00B00D9B" w:rsidRDefault="00B00D9B" w:rsidP="000A49D5">
      <w:pPr>
        <w:autoSpaceDE w:val="0"/>
        <w:autoSpaceDN w:val="0"/>
        <w:adjustRightInd w:val="0"/>
        <w:spacing w:after="120" w:line="264" w:lineRule="auto"/>
        <w:ind w:left="284" w:right="284"/>
        <w:jc w:val="both"/>
        <w:rPr>
          <w:rFonts w:cs="Arial"/>
          <w:color w:val="000000"/>
        </w:rPr>
      </w:pPr>
      <w:r w:rsidRPr="00980FB5">
        <w:rPr>
          <w:rFonts w:cs="Arial"/>
          <w:b/>
          <w:bCs/>
          <w:color w:val="000000"/>
        </w:rPr>
        <w:t xml:space="preserve">Service Delivery: </w:t>
      </w:r>
      <w:r w:rsidRPr="00980FB5">
        <w:rPr>
          <w:rFonts w:cs="Arial"/>
          <w:color w:val="000000"/>
        </w:rPr>
        <w:t xml:space="preserve">To deliver culturally sensitive high quality services using an evidence based comprehensive primary health care model through a family </w:t>
      </w:r>
      <w:proofErr w:type="spellStart"/>
      <w:r w:rsidRPr="00980FB5">
        <w:rPr>
          <w:rFonts w:cs="Arial"/>
          <w:color w:val="000000"/>
        </w:rPr>
        <w:t>centred</w:t>
      </w:r>
      <w:proofErr w:type="spellEnd"/>
      <w:r w:rsidRPr="00980FB5">
        <w:rPr>
          <w:rFonts w:cs="Arial"/>
          <w:color w:val="000000"/>
        </w:rPr>
        <w:t xml:space="preserve"> approach with specific focus on prevention, early intervention and continuous quality improvement. </w:t>
      </w:r>
    </w:p>
    <w:p w:rsidR="000A49D5" w:rsidRPr="00382EF3" w:rsidRDefault="000A49D5" w:rsidP="000A49D5">
      <w:pPr>
        <w:autoSpaceDE w:val="0"/>
        <w:autoSpaceDN w:val="0"/>
        <w:adjustRightInd w:val="0"/>
        <w:spacing w:after="120" w:line="264" w:lineRule="auto"/>
        <w:ind w:left="284" w:right="284"/>
        <w:jc w:val="both"/>
        <w:rPr>
          <w:rFonts w:cs="Arial"/>
          <w:color w:val="000000"/>
        </w:rPr>
      </w:pPr>
    </w:p>
    <w:p w:rsidR="00B00D9B" w:rsidRDefault="00B00D9B" w:rsidP="000A49D5">
      <w:pPr>
        <w:autoSpaceDE w:val="0"/>
        <w:autoSpaceDN w:val="0"/>
        <w:adjustRightInd w:val="0"/>
        <w:spacing w:after="120" w:line="264" w:lineRule="auto"/>
        <w:ind w:left="284" w:right="284"/>
        <w:jc w:val="both"/>
        <w:rPr>
          <w:rFonts w:cs="Arial"/>
          <w:color w:val="000000"/>
        </w:rPr>
      </w:pPr>
      <w:r w:rsidRPr="00980FB5">
        <w:rPr>
          <w:rFonts w:cs="Arial"/>
          <w:b/>
          <w:bCs/>
          <w:color w:val="000000"/>
        </w:rPr>
        <w:t xml:space="preserve">Human Resources: </w:t>
      </w:r>
      <w:r w:rsidRPr="00980FB5">
        <w:rPr>
          <w:rFonts w:cs="Arial"/>
          <w:color w:val="000000"/>
        </w:rPr>
        <w:t xml:space="preserve">To maintain a fair, supportive and innovative work environment enabling the recruitment and retention of a highly effective, culturally appropriate, well qualified, motivated and passionate workforce supported through a culture of continual professional development, mentorship, learning and development. </w:t>
      </w:r>
    </w:p>
    <w:p w:rsidR="000A49D5" w:rsidRPr="00980FB5" w:rsidRDefault="000A49D5" w:rsidP="000A49D5">
      <w:pPr>
        <w:autoSpaceDE w:val="0"/>
        <w:autoSpaceDN w:val="0"/>
        <w:adjustRightInd w:val="0"/>
        <w:spacing w:after="120" w:line="264" w:lineRule="auto"/>
        <w:ind w:left="284" w:right="284"/>
        <w:jc w:val="both"/>
        <w:rPr>
          <w:rFonts w:cs="Arial"/>
          <w:color w:val="000000"/>
        </w:rPr>
      </w:pPr>
    </w:p>
    <w:p w:rsidR="00B00D9B" w:rsidRDefault="00B00D9B" w:rsidP="000A49D5">
      <w:pPr>
        <w:pStyle w:val="Default"/>
        <w:spacing w:after="120" w:line="264" w:lineRule="auto"/>
        <w:ind w:left="284" w:right="284"/>
        <w:jc w:val="both"/>
        <w:rPr>
          <w:rFonts w:ascii="Calibri" w:hAnsi="Calibri"/>
          <w:sz w:val="22"/>
          <w:szCs w:val="22"/>
        </w:rPr>
      </w:pPr>
      <w:r w:rsidRPr="00B00D9B">
        <w:rPr>
          <w:rFonts w:ascii="Calibri" w:hAnsi="Calibri"/>
          <w:b/>
          <w:bCs/>
          <w:sz w:val="22"/>
          <w:szCs w:val="22"/>
        </w:rPr>
        <w:t xml:space="preserve">Financial Management: </w:t>
      </w:r>
      <w:r w:rsidRPr="00B00D9B">
        <w:rPr>
          <w:rFonts w:ascii="Calibri" w:hAnsi="Calibri"/>
          <w:sz w:val="22"/>
          <w:szCs w:val="22"/>
        </w:rPr>
        <w:t xml:space="preserve">To identify and maintain access to funding opportunities and effectively and efficiently manage financial resources in a transparent, open and accountable way to maximise opportunities for quality of life across the life span. </w:t>
      </w:r>
    </w:p>
    <w:p w:rsidR="000A49D5" w:rsidRPr="00B00D9B" w:rsidRDefault="000A49D5" w:rsidP="000A49D5">
      <w:pPr>
        <w:pStyle w:val="Default"/>
        <w:spacing w:after="120" w:line="264" w:lineRule="auto"/>
        <w:ind w:left="284" w:right="284"/>
        <w:jc w:val="both"/>
        <w:rPr>
          <w:rFonts w:ascii="Calibri" w:hAnsi="Calibri"/>
          <w:sz w:val="22"/>
          <w:szCs w:val="22"/>
        </w:rPr>
      </w:pPr>
    </w:p>
    <w:p w:rsidR="00B00D9B" w:rsidRDefault="00B00D9B" w:rsidP="000A49D5">
      <w:pPr>
        <w:pStyle w:val="Default"/>
        <w:spacing w:after="120" w:line="264" w:lineRule="auto"/>
        <w:ind w:left="284" w:right="284"/>
        <w:jc w:val="both"/>
        <w:rPr>
          <w:rFonts w:ascii="Calibri" w:hAnsi="Calibri"/>
          <w:sz w:val="22"/>
          <w:szCs w:val="22"/>
        </w:rPr>
      </w:pPr>
      <w:r w:rsidRPr="00B00D9B">
        <w:rPr>
          <w:rFonts w:ascii="Calibri" w:hAnsi="Calibri"/>
          <w:b/>
          <w:bCs/>
          <w:sz w:val="22"/>
          <w:szCs w:val="22"/>
        </w:rPr>
        <w:t xml:space="preserve">Management Systems: </w:t>
      </w:r>
      <w:r w:rsidRPr="00B00D9B">
        <w:rPr>
          <w:rFonts w:ascii="Calibri" w:hAnsi="Calibri"/>
          <w:sz w:val="22"/>
          <w:szCs w:val="22"/>
        </w:rPr>
        <w:t xml:space="preserve">To effectively manage our business processes and address all relevant objectives of our management systems though systematic continuous quality improvement and an integrated risk management approach. </w:t>
      </w:r>
      <w:r w:rsidR="00BA561A">
        <w:rPr>
          <w:rFonts w:ascii="Calibri" w:hAnsi="Calibri"/>
          <w:sz w:val="22"/>
          <w:szCs w:val="22"/>
        </w:rPr>
        <w:t xml:space="preserve">Kalwun Development Corporation is compliant with Quality </w:t>
      </w:r>
      <w:r w:rsidR="008528A0">
        <w:rPr>
          <w:rFonts w:ascii="Calibri" w:hAnsi="Calibri"/>
          <w:sz w:val="22"/>
          <w:szCs w:val="22"/>
        </w:rPr>
        <w:t xml:space="preserve">Management System ISO 9001:2015, with the exception of Design &amp; Development </w:t>
      </w:r>
      <w:r w:rsidR="006A58B7">
        <w:rPr>
          <w:rFonts w:ascii="Calibri" w:hAnsi="Calibri"/>
          <w:sz w:val="22"/>
          <w:szCs w:val="22"/>
        </w:rPr>
        <w:t xml:space="preserve">of products as this is not applicable. </w:t>
      </w:r>
    </w:p>
    <w:p w:rsidR="000A49D5" w:rsidRPr="00B00D9B" w:rsidRDefault="000A49D5" w:rsidP="000A49D5">
      <w:pPr>
        <w:pStyle w:val="Default"/>
        <w:spacing w:after="120" w:line="264" w:lineRule="auto"/>
        <w:ind w:left="284" w:right="284"/>
        <w:jc w:val="both"/>
        <w:rPr>
          <w:rFonts w:ascii="Calibri" w:hAnsi="Calibri"/>
          <w:sz w:val="22"/>
          <w:szCs w:val="22"/>
        </w:rPr>
      </w:pPr>
    </w:p>
    <w:p w:rsidR="00B00D9B" w:rsidRPr="00B00D9B" w:rsidRDefault="00B00D9B" w:rsidP="000A49D5">
      <w:pPr>
        <w:pStyle w:val="Default"/>
        <w:spacing w:after="120" w:line="264" w:lineRule="auto"/>
        <w:ind w:left="284" w:right="284"/>
        <w:jc w:val="both"/>
        <w:rPr>
          <w:rFonts w:ascii="Calibri" w:hAnsi="Calibri"/>
          <w:sz w:val="22"/>
          <w:szCs w:val="22"/>
        </w:rPr>
      </w:pPr>
      <w:r w:rsidRPr="00B00D9B">
        <w:rPr>
          <w:rFonts w:ascii="Calibri" w:hAnsi="Calibri"/>
          <w:b/>
          <w:bCs/>
          <w:sz w:val="22"/>
          <w:szCs w:val="22"/>
        </w:rPr>
        <w:t xml:space="preserve">Governance: </w:t>
      </w:r>
      <w:r w:rsidRPr="00B00D9B">
        <w:rPr>
          <w:rFonts w:ascii="Calibri" w:hAnsi="Calibri"/>
          <w:sz w:val="22"/>
          <w:szCs w:val="22"/>
        </w:rPr>
        <w:t>To conduct our business in an open, honest and transparent manner that enables the communities we s</w:t>
      </w:r>
      <w:bookmarkStart w:id="0" w:name="_GoBack"/>
      <w:bookmarkEnd w:id="0"/>
      <w:r w:rsidRPr="00B00D9B">
        <w:rPr>
          <w:rFonts w:ascii="Calibri" w:hAnsi="Calibri"/>
          <w:sz w:val="22"/>
          <w:szCs w:val="22"/>
        </w:rPr>
        <w:t xml:space="preserve">erve to hold us to account through our elected community representatives on the Board and our clinical and corporate governance processes. </w:t>
      </w:r>
    </w:p>
    <w:p w:rsidR="00B00D9B" w:rsidRPr="00382EF3" w:rsidRDefault="00B00D9B" w:rsidP="000A49D5">
      <w:pPr>
        <w:spacing w:after="120" w:line="264" w:lineRule="auto"/>
        <w:ind w:left="284" w:right="284"/>
        <w:jc w:val="both"/>
      </w:pPr>
    </w:p>
    <w:p w:rsidR="00B00D9B" w:rsidRPr="000A49D5" w:rsidRDefault="00B00D9B" w:rsidP="000A49D5">
      <w:pPr>
        <w:spacing w:after="240" w:line="264" w:lineRule="auto"/>
        <w:ind w:left="284" w:right="284"/>
        <w:jc w:val="both"/>
        <w:rPr>
          <w:b/>
        </w:rPr>
      </w:pPr>
      <w:r w:rsidRPr="000A49D5">
        <w:rPr>
          <w:b/>
        </w:rPr>
        <w:t xml:space="preserve">Kalwun Development Corporation Ltd is committed to the provision of high quality, professional, culturally appropriate and respectful services through effective management systems, requirements and processes.   </w:t>
      </w:r>
    </w:p>
    <w:sectPr w:rsidR="00B00D9B" w:rsidRPr="000A49D5" w:rsidSect="00E70B48">
      <w:footerReference w:type="default" r:id="rId9"/>
      <w:type w:val="continuous"/>
      <w:pgSz w:w="12240" w:h="15840"/>
      <w:pgMar w:top="680" w:right="680" w:bottom="567" w:left="680" w:header="709" w:footer="709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411" w:rsidRDefault="00B73411" w:rsidP="00FB5300">
      <w:pPr>
        <w:spacing w:after="0" w:line="240" w:lineRule="auto"/>
      </w:pPr>
      <w:r>
        <w:separator/>
      </w:r>
    </w:p>
  </w:endnote>
  <w:endnote w:type="continuationSeparator" w:id="0">
    <w:p w:rsidR="00B73411" w:rsidRDefault="00B73411" w:rsidP="00FB5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C3" w:rsidRPr="005D27EF" w:rsidRDefault="00C20DC3" w:rsidP="005D27EF">
    <w:pPr>
      <w:pStyle w:val="Footer"/>
      <w:tabs>
        <w:tab w:val="right" w:pos="10490"/>
      </w:tabs>
      <w:rPr>
        <w:sz w:val="16"/>
        <w:szCs w:val="16"/>
      </w:rPr>
    </w:pPr>
    <w:r w:rsidRPr="005D27EF">
      <w:rPr>
        <w:sz w:val="16"/>
        <w:szCs w:val="16"/>
      </w:rPr>
      <w:fldChar w:fldCharType="begin"/>
    </w:r>
    <w:r w:rsidRPr="005D27EF">
      <w:rPr>
        <w:sz w:val="16"/>
        <w:szCs w:val="16"/>
      </w:rPr>
      <w:instrText xml:space="preserve"> FILENAME   \* MERGEFORMAT </w:instrText>
    </w:r>
    <w:r w:rsidRPr="005D27EF">
      <w:rPr>
        <w:sz w:val="16"/>
        <w:szCs w:val="16"/>
      </w:rPr>
      <w:fldChar w:fldCharType="separate"/>
    </w:r>
    <w:r w:rsidR="006A58B7">
      <w:rPr>
        <w:noProof/>
        <w:sz w:val="16"/>
        <w:szCs w:val="16"/>
      </w:rPr>
      <w:t>Doc 063 Quality Policy v4</w:t>
    </w:r>
    <w:r>
      <w:rPr>
        <w:noProof/>
        <w:sz w:val="16"/>
        <w:szCs w:val="16"/>
      </w:rPr>
      <w:t>.docx</w:t>
    </w:r>
    <w:r w:rsidRPr="005D27EF">
      <w:rPr>
        <w:noProof/>
        <w:sz w:val="16"/>
        <w:szCs w:val="16"/>
      </w:rPr>
      <w:fldChar w:fldCharType="end"/>
    </w:r>
    <w:r w:rsidRPr="005D27EF">
      <w:rPr>
        <w:sz w:val="16"/>
        <w:szCs w:val="16"/>
      </w:rPr>
      <w:t xml:space="preserve">                                   </w:t>
    </w:r>
    <w:r w:rsidRPr="005D27EF">
      <w:rPr>
        <w:sz w:val="16"/>
        <w:szCs w:val="16"/>
      </w:rPr>
      <w:tab/>
    </w:r>
    <w:r w:rsidRPr="005D27EF">
      <w:rPr>
        <w:sz w:val="16"/>
        <w:szCs w:val="16"/>
      </w:rPr>
      <w:tab/>
      <w:t xml:space="preserve">Page </w:t>
    </w:r>
    <w:r w:rsidRPr="005D27EF">
      <w:rPr>
        <w:sz w:val="16"/>
        <w:szCs w:val="16"/>
      </w:rPr>
      <w:fldChar w:fldCharType="begin"/>
    </w:r>
    <w:r w:rsidRPr="005D27EF">
      <w:rPr>
        <w:sz w:val="16"/>
        <w:szCs w:val="16"/>
      </w:rPr>
      <w:instrText xml:space="preserve"> PAGE   \* MERGEFORMAT </w:instrText>
    </w:r>
    <w:r w:rsidRPr="005D27EF">
      <w:rPr>
        <w:sz w:val="16"/>
        <w:szCs w:val="16"/>
      </w:rPr>
      <w:fldChar w:fldCharType="separate"/>
    </w:r>
    <w:r w:rsidR="006A58B7">
      <w:rPr>
        <w:noProof/>
        <w:sz w:val="16"/>
        <w:szCs w:val="16"/>
      </w:rPr>
      <w:t>1</w:t>
    </w:r>
    <w:r w:rsidRPr="005D27EF">
      <w:rPr>
        <w:sz w:val="16"/>
        <w:szCs w:val="16"/>
      </w:rPr>
      <w:fldChar w:fldCharType="end"/>
    </w:r>
    <w:r w:rsidRPr="005D27EF">
      <w:rPr>
        <w:sz w:val="16"/>
        <w:szCs w:val="16"/>
      </w:rPr>
      <w:t xml:space="preserve"> of </w:t>
    </w:r>
    <w:r>
      <w:rPr>
        <w:sz w:val="16"/>
        <w:szCs w:val="16"/>
      </w:rPr>
      <w:t>1</w:t>
    </w:r>
  </w:p>
  <w:p w:rsidR="004E483B" w:rsidRPr="000A49D5" w:rsidRDefault="004E483B" w:rsidP="000A49D5">
    <w:pPr>
      <w:pStyle w:val="Footer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411" w:rsidRDefault="00B73411" w:rsidP="00FB5300">
      <w:pPr>
        <w:spacing w:after="0" w:line="240" w:lineRule="auto"/>
      </w:pPr>
      <w:r>
        <w:separator/>
      </w:r>
    </w:p>
  </w:footnote>
  <w:footnote w:type="continuationSeparator" w:id="0">
    <w:p w:rsidR="00B73411" w:rsidRDefault="00B73411" w:rsidP="00FB53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D70C2"/>
    <w:multiLevelType w:val="hybridMultilevel"/>
    <w:tmpl w:val="63AAC7B6"/>
    <w:lvl w:ilvl="0" w:tplc="9D2627FC"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8E220C"/>
    <w:multiLevelType w:val="hybridMultilevel"/>
    <w:tmpl w:val="714E2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B7967"/>
    <w:multiLevelType w:val="hybridMultilevel"/>
    <w:tmpl w:val="C218A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87CD1"/>
    <w:multiLevelType w:val="hybridMultilevel"/>
    <w:tmpl w:val="CC0A492C"/>
    <w:lvl w:ilvl="0" w:tplc="3D7AC82C"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1180146"/>
    <w:multiLevelType w:val="hybridMultilevel"/>
    <w:tmpl w:val="CAF80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123A5"/>
    <w:multiLevelType w:val="hybridMultilevel"/>
    <w:tmpl w:val="786AD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6C5F83"/>
    <w:multiLevelType w:val="hybridMultilevel"/>
    <w:tmpl w:val="082E2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34E2D"/>
    <w:multiLevelType w:val="hybridMultilevel"/>
    <w:tmpl w:val="D3143534"/>
    <w:lvl w:ilvl="0" w:tplc="1654156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9F7709"/>
    <w:multiLevelType w:val="hybridMultilevel"/>
    <w:tmpl w:val="80C47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CE6874"/>
    <w:multiLevelType w:val="hybridMultilevel"/>
    <w:tmpl w:val="EBAA802A"/>
    <w:lvl w:ilvl="0" w:tplc="C39E028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79866CB0">
      <w:numFmt w:val="bullet"/>
      <w:lvlText w:val="–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9246A"/>
    <w:multiLevelType w:val="hybridMultilevel"/>
    <w:tmpl w:val="28DE3A0C"/>
    <w:lvl w:ilvl="0" w:tplc="ED5465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68C83A98">
      <w:numFmt w:val="bullet"/>
      <w:lvlText w:val=""/>
      <w:lvlJc w:val="left"/>
      <w:pPr>
        <w:ind w:left="1440" w:hanging="360"/>
      </w:pPr>
      <w:rPr>
        <w:rFonts w:ascii="Symbol" w:hAnsi="Symbol" w:hint="default"/>
        <w:b/>
        <w:sz w:val="3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1695A"/>
    <w:multiLevelType w:val="hybridMultilevel"/>
    <w:tmpl w:val="C93EE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B80C81"/>
    <w:multiLevelType w:val="hybridMultilevel"/>
    <w:tmpl w:val="64661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D3763"/>
    <w:multiLevelType w:val="hybridMultilevel"/>
    <w:tmpl w:val="1254A2F0"/>
    <w:lvl w:ilvl="0" w:tplc="16541568">
      <w:start w:val="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  <w:num w:numId="11">
    <w:abstractNumId w:val="7"/>
  </w:num>
  <w:num w:numId="12">
    <w:abstractNumId w:val="13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300"/>
    <w:rsid w:val="000A49D5"/>
    <w:rsid w:val="00227CEB"/>
    <w:rsid w:val="00244519"/>
    <w:rsid w:val="003E30A2"/>
    <w:rsid w:val="00410447"/>
    <w:rsid w:val="004B1D7A"/>
    <w:rsid w:val="004B1DA8"/>
    <w:rsid w:val="004E483B"/>
    <w:rsid w:val="006546C5"/>
    <w:rsid w:val="006A58B7"/>
    <w:rsid w:val="006D4F2D"/>
    <w:rsid w:val="00755FE2"/>
    <w:rsid w:val="00775841"/>
    <w:rsid w:val="008528A0"/>
    <w:rsid w:val="008D1E45"/>
    <w:rsid w:val="009F36A0"/>
    <w:rsid w:val="00A40E33"/>
    <w:rsid w:val="00AD5F30"/>
    <w:rsid w:val="00B00D9B"/>
    <w:rsid w:val="00B44830"/>
    <w:rsid w:val="00B61E47"/>
    <w:rsid w:val="00B73411"/>
    <w:rsid w:val="00BA561A"/>
    <w:rsid w:val="00C20DC3"/>
    <w:rsid w:val="00C573B0"/>
    <w:rsid w:val="00C919D4"/>
    <w:rsid w:val="00CA64A0"/>
    <w:rsid w:val="00D55831"/>
    <w:rsid w:val="00DA52BA"/>
    <w:rsid w:val="00E26B44"/>
    <w:rsid w:val="00E70B48"/>
    <w:rsid w:val="00E85A0D"/>
    <w:rsid w:val="00F41100"/>
    <w:rsid w:val="00FA75AA"/>
    <w:rsid w:val="00FB5300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1A6FA5-D7D4-4B7A-8AB4-4FBE0E51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841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530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FB5300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AU" w:eastAsia="en-AU"/>
    </w:rPr>
  </w:style>
  <w:style w:type="character" w:customStyle="1" w:styleId="FooterChar">
    <w:name w:val="Footer Char"/>
    <w:link w:val="Footer"/>
    <w:uiPriority w:val="99"/>
    <w:rsid w:val="00FB5300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Header">
    <w:name w:val="header"/>
    <w:basedOn w:val="Normal"/>
    <w:link w:val="HeaderChar"/>
    <w:unhideWhenUsed/>
    <w:rsid w:val="00FB5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300"/>
  </w:style>
  <w:style w:type="paragraph" w:styleId="ListParagraph">
    <w:name w:val="List Paragraph"/>
    <w:basedOn w:val="Normal"/>
    <w:uiPriority w:val="34"/>
    <w:qFormat/>
    <w:rsid w:val="00FB5300"/>
    <w:pPr>
      <w:ind w:left="720"/>
      <w:contextualSpacing/>
    </w:pPr>
  </w:style>
  <w:style w:type="table" w:styleId="TableGrid">
    <w:name w:val="Table Grid"/>
    <w:basedOn w:val="TableNormal"/>
    <w:uiPriority w:val="59"/>
    <w:rsid w:val="00AD5F3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0D9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EC741-30A6-4F16-9623-0C6C5A35D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Emily Rolls</cp:lastModifiedBy>
  <cp:revision>3</cp:revision>
  <cp:lastPrinted>2014-03-21T00:48:00Z</cp:lastPrinted>
  <dcterms:created xsi:type="dcterms:W3CDTF">2016-04-14T03:12:00Z</dcterms:created>
  <dcterms:modified xsi:type="dcterms:W3CDTF">2016-04-14T04:54:00Z</dcterms:modified>
</cp:coreProperties>
</file>